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line="252" w:lineRule="auto"/>
        <w:jc w:val="both"/>
      </w:pPr>
      <w:r>
        <w:rPr>
          <w:rFonts w:ascii="Times New Roman" w:hAnsi="Times New Roman" w:eastAsia="Times New Roman"/>
          <w:b w:val="0"/>
          <w:sz w:val="24"/>
        </w:rPr>
        <w:t>Temeljem članka 15. stavka 2. Zakona o javnoj nabavi („Narodne novine“, br. 120/16, 114/22 i 48/26; dalje u tekstu: „ZJN“), direktor društva Vrilo d.o.o. sa sjedištem u Pirovcu, Kralja Krešimira IV br. 6 (dalje u tekstu: „Društvo“ ili „Naručitelj“), dana __________ 2026. godine, donosi sljedeći</w:t>
      </w:r>
    </w:p>
    <w:p>
      <w:pPr>
        <w:spacing w:before="200" w:after="360"/>
        <w:jc w:val="center"/>
      </w:pPr>
      <w:r>
        <w:rPr>
          <w:rFonts w:ascii="Times New Roman" w:hAnsi="Times New Roman" w:eastAsia="Times New Roman"/>
          <w:b/>
          <w:sz w:val="28"/>
        </w:rPr>
        <w:t>PRAVILNIK O PROVEDBI POSTUPAKA JEDNOSTAVNE NABAVE</w:t>
        <w:br/>
        <w:t>ROBE, RADOVA I/ILI USLUGA</w:t>
      </w:r>
    </w:p>
    <w:p>
      <w:pPr>
        <w:spacing w:before="240" w:after="160"/>
        <w:jc w:val="center"/>
      </w:pPr>
      <w:r>
        <w:rPr>
          <w:rFonts w:ascii="Times New Roman" w:hAnsi="Times New Roman" w:eastAsia="Times New Roman"/>
          <w:b/>
          <w:sz w:val="24"/>
        </w:rPr>
        <w:t>I. PREDMET I OPĆE ODREDBE</w:t>
      </w:r>
    </w:p>
    <w:p>
      <w:pPr>
        <w:spacing w:before="160" w:after="80"/>
        <w:jc w:val="center"/>
      </w:pPr>
      <w:r>
        <w:rPr>
          <w:rFonts w:ascii="Times New Roman" w:hAnsi="Times New Roman" w:eastAsia="Times New Roman"/>
          <w:b/>
          <w:sz w:val="24"/>
        </w:rPr>
        <w:t>Članak 1.</w:t>
      </w:r>
    </w:p>
    <w:p>
      <w:pPr>
        <w:spacing w:after="60" w:line="252" w:lineRule="auto"/>
        <w:ind w:left="369" w:hanging="369"/>
        <w:jc w:val="both"/>
      </w:pPr>
      <w:r>
        <w:rPr>
          <w:rFonts w:ascii="Times New Roman" w:hAnsi="Times New Roman" w:eastAsia="Times New Roman"/>
          <w:sz w:val="24"/>
        </w:rPr>
        <w:t>(1) Ovim Pravilnikom uređuju se pravila, uvjeti i postupci jednostavne nabave robe, usluga i radova za potrebe Društva.</w:t>
      </w:r>
    </w:p>
    <w:p>
      <w:pPr>
        <w:spacing w:after="60" w:line="252" w:lineRule="auto"/>
        <w:ind w:left="369" w:hanging="369"/>
        <w:jc w:val="both"/>
      </w:pPr>
      <w:r>
        <w:rPr>
          <w:rFonts w:ascii="Times New Roman" w:hAnsi="Times New Roman" w:eastAsia="Times New Roman"/>
          <w:sz w:val="24"/>
        </w:rPr>
        <w:t>(2) Jednostavna nabava je nabava robe i usluga čija je procijenjena vrijednost manja od 50.000,00 eura bez PDV-a te nabava radova čija je procijenjena vrijednost manja od 100.000,00 eura bez PDV-a.</w:t>
      </w:r>
    </w:p>
    <w:p>
      <w:pPr>
        <w:spacing w:after="60" w:line="252" w:lineRule="auto"/>
        <w:ind w:left="369" w:hanging="369"/>
        <w:jc w:val="both"/>
      </w:pPr>
      <w:r>
        <w:rPr>
          <w:rFonts w:ascii="Times New Roman" w:hAnsi="Times New Roman" w:eastAsia="Times New Roman"/>
          <w:sz w:val="24"/>
        </w:rPr>
        <w:t>(3) Procijenjena vrijednost nabave određuje se bez PDV-a, na temelju ukupnog iznosa koji Naručitelj očekuje platiti, uključujući sve opcije i moguća obnavljanja ugovora.</w:t>
      </w:r>
    </w:p>
    <w:p>
      <w:pPr>
        <w:spacing w:after="60" w:line="252" w:lineRule="auto"/>
        <w:ind w:left="369" w:hanging="369"/>
        <w:jc w:val="both"/>
      </w:pPr>
      <w:r>
        <w:rPr>
          <w:rFonts w:ascii="Times New Roman" w:hAnsi="Times New Roman" w:eastAsia="Times New Roman"/>
          <w:sz w:val="24"/>
        </w:rPr>
        <w:t>(4) Predmet nabave ne smije se dijeliti niti se procijenjena vrijednost smije određivati s namjerom izbjegavanja primjene ZJN-a, obveze provedbe postupka putem EOJN RH, obveze javne objave ili primjene strožeg postupka iz ovog Pravilnika.</w:t>
      </w:r>
    </w:p>
    <w:p>
      <w:pPr>
        <w:spacing w:before="160" w:after="80"/>
        <w:jc w:val="center"/>
      </w:pPr>
      <w:r>
        <w:rPr>
          <w:rFonts w:ascii="Times New Roman" w:hAnsi="Times New Roman" w:eastAsia="Times New Roman"/>
          <w:b/>
          <w:sz w:val="24"/>
        </w:rPr>
        <w:t>Članak 2.</w:t>
      </w:r>
    </w:p>
    <w:p>
      <w:pPr>
        <w:spacing w:after="60" w:line="252" w:lineRule="auto"/>
        <w:ind w:left="369" w:hanging="369"/>
        <w:jc w:val="both"/>
      </w:pPr>
      <w:r>
        <w:rPr>
          <w:rFonts w:ascii="Times New Roman" w:hAnsi="Times New Roman" w:eastAsia="Times New Roman"/>
          <w:sz w:val="24"/>
        </w:rPr>
        <w:t>(1) Društvo provodi jednostavnu nabavu zakonito, svrhovito, ekonomično i učinkovito, postupajući s pažnjom dobrog gospodarstvenika.</w:t>
      </w:r>
    </w:p>
    <w:p>
      <w:pPr>
        <w:spacing w:after="60" w:line="252" w:lineRule="auto"/>
        <w:ind w:left="369" w:hanging="369"/>
        <w:jc w:val="both"/>
      </w:pPr>
      <w:r>
        <w:rPr>
          <w:rFonts w:ascii="Times New Roman" w:hAnsi="Times New Roman" w:eastAsia="Times New Roman"/>
          <w:sz w:val="24"/>
        </w:rPr>
        <w:t>(2) Pri provedbi postupaka jednostavne nabave primjenjuju se načela javne nabave, osobito načela tržišnog natjecanja, jednakog tretmana, zabrane diskriminacije, uzajamnog priznavanja, razmjernosti i transparentnosti.</w:t>
      </w:r>
    </w:p>
    <w:p>
      <w:pPr>
        <w:spacing w:after="60" w:line="252" w:lineRule="auto"/>
        <w:ind w:left="369" w:hanging="369"/>
        <w:jc w:val="both"/>
      </w:pPr>
      <w:r>
        <w:rPr>
          <w:rFonts w:ascii="Times New Roman" w:hAnsi="Times New Roman" w:eastAsia="Times New Roman"/>
          <w:sz w:val="24"/>
        </w:rPr>
        <w:t>(3) Na pitanja koja nisu posebno uređena ovim Pravilnikom primjenjuju se ZJN, podzakonski propisi i drugi važeći propisi u dijelu u kojem se odnose na jednostavnu nabavu.</w:t>
      </w:r>
    </w:p>
    <w:p>
      <w:pPr>
        <w:spacing w:before="160" w:after="80"/>
        <w:jc w:val="center"/>
      </w:pPr>
      <w:r>
        <w:rPr>
          <w:rFonts w:ascii="Times New Roman" w:hAnsi="Times New Roman" w:eastAsia="Times New Roman"/>
          <w:b/>
          <w:sz w:val="24"/>
        </w:rPr>
        <w:t>Članak 3.</w:t>
      </w:r>
    </w:p>
    <w:p>
      <w:pPr>
        <w:spacing w:after="60" w:line="252" w:lineRule="auto"/>
        <w:ind w:left="369" w:hanging="369"/>
        <w:jc w:val="both"/>
      </w:pPr>
      <w:r>
        <w:rPr>
          <w:rFonts w:ascii="Times New Roman" w:hAnsi="Times New Roman" w:eastAsia="Times New Roman"/>
          <w:sz w:val="24"/>
        </w:rPr>
        <w:t>Ovaj Pravilnik ne primjenjuje se na nabave na koje se, sukladno ZJN-u, primjenjuje izuzeće od primjene pravila javne nabave.</w:t>
      </w:r>
    </w:p>
    <w:p>
      <w:pPr>
        <w:spacing w:before="240" w:after="160"/>
        <w:jc w:val="center"/>
      </w:pPr>
      <w:r>
        <w:rPr>
          <w:rFonts w:ascii="Times New Roman" w:hAnsi="Times New Roman" w:eastAsia="Times New Roman"/>
          <w:b/>
          <w:sz w:val="24"/>
        </w:rPr>
        <w:t>II. PLANIRANJE, EVIDENCIJE I OVLASTI</w:t>
      </w:r>
    </w:p>
    <w:p>
      <w:pPr>
        <w:spacing w:before="160" w:after="80"/>
        <w:jc w:val="center"/>
      </w:pPr>
      <w:r>
        <w:rPr>
          <w:rFonts w:ascii="Times New Roman" w:hAnsi="Times New Roman" w:eastAsia="Times New Roman"/>
          <w:b/>
          <w:sz w:val="24"/>
        </w:rPr>
        <w:t>Članak 4.</w:t>
      </w:r>
    </w:p>
    <w:p>
      <w:pPr>
        <w:spacing w:after="60" w:line="252" w:lineRule="auto"/>
        <w:ind w:left="369" w:hanging="369"/>
        <w:jc w:val="both"/>
      </w:pPr>
      <w:r>
        <w:rPr>
          <w:rFonts w:ascii="Times New Roman" w:hAnsi="Times New Roman" w:eastAsia="Times New Roman"/>
          <w:sz w:val="24"/>
        </w:rPr>
        <w:t>(1) Društvo donosi plan nabave za kalendarsku godinu.</w:t>
      </w:r>
    </w:p>
    <w:p>
      <w:pPr>
        <w:spacing w:after="60" w:line="252" w:lineRule="auto"/>
        <w:ind w:left="369" w:hanging="369"/>
        <w:jc w:val="both"/>
      </w:pPr>
      <w:r>
        <w:rPr>
          <w:rFonts w:ascii="Times New Roman" w:hAnsi="Times New Roman" w:eastAsia="Times New Roman"/>
          <w:sz w:val="24"/>
        </w:rPr>
        <w:t>(2) U plan nabave unose se predmeti nabave čija je procijenjena vrijednost jednaka ili veća od 5.000,00 eura bez PDV-a, kao i drugi podaci propisani važećim propisima.</w:t>
      </w:r>
    </w:p>
    <w:p>
      <w:pPr>
        <w:spacing w:after="60" w:line="252" w:lineRule="auto"/>
        <w:ind w:left="369" w:hanging="369"/>
        <w:jc w:val="both"/>
      </w:pPr>
      <w:r>
        <w:rPr>
          <w:rFonts w:ascii="Times New Roman" w:hAnsi="Times New Roman" w:eastAsia="Times New Roman"/>
          <w:sz w:val="24"/>
        </w:rPr>
        <w:t>(3) Plan nabave i njegove izmjene objavljuju odnosno unose se u EOJN RH u skladu sa ZJN-om i podzakonskim propisima.</w:t>
      </w:r>
    </w:p>
    <w:p>
      <w:pPr>
        <w:spacing w:after="60" w:line="252" w:lineRule="auto"/>
        <w:ind w:left="369" w:hanging="369"/>
        <w:jc w:val="both"/>
      </w:pPr>
      <w:r>
        <w:rPr>
          <w:rFonts w:ascii="Times New Roman" w:hAnsi="Times New Roman" w:eastAsia="Times New Roman"/>
          <w:sz w:val="24"/>
        </w:rPr>
        <w:t>(4) Društvo vodi registar ugovora i okvirnih sporazuma te u njega unosi predmete nabave za koje postoji obveza unosa sukladno važećim propisima.</w:t>
      </w:r>
    </w:p>
    <w:p>
      <w:pPr>
        <w:spacing w:before="160" w:after="80"/>
        <w:jc w:val="center"/>
      </w:pPr>
      <w:r>
        <w:rPr>
          <w:rFonts w:ascii="Times New Roman" w:hAnsi="Times New Roman" w:eastAsia="Times New Roman"/>
          <w:b/>
          <w:sz w:val="24"/>
        </w:rPr>
        <w:t>Članak 5.</w:t>
      </w:r>
    </w:p>
    <w:p>
      <w:pPr>
        <w:spacing w:after="60" w:line="252" w:lineRule="auto"/>
        <w:ind w:left="369" w:hanging="369"/>
        <w:jc w:val="both"/>
      </w:pPr>
      <w:r>
        <w:rPr>
          <w:rFonts w:ascii="Times New Roman" w:hAnsi="Times New Roman" w:eastAsia="Times New Roman"/>
          <w:sz w:val="24"/>
        </w:rPr>
        <w:t>(1) Nabavu odobrava direktor Društva ili osoba koju on ovlasti.</w:t>
      </w:r>
    </w:p>
    <w:p>
      <w:pPr>
        <w:spacing w:after="60" w:line="252" w:lineRule="auto"/>
        <w:ind w:left="369" w:hanging="369"/>
        <w:jc w:val="both"/>
      </w:pPr>
      <w:r>
        <w:rPr>
          <w:rFonts w:ascii="Times New Roman" w:hAnsi="Times New Roman" w:eastAsia="Times New Roman"/>
          <w:sz w:val="24"/>
        </w:rPr>
        <w:t>(2) Ugovore sklapa direktor Društva ili osoba koju on ovlasti, a narudžbenice, naloge i druge isprave izdaju osobe ovlaštene internim aktima Društva.</w:t>
      </w:r>
    </w:p>
    <w:p>
      <w:pPr>
        <w:spacing w:after="60" w:line="252" w:lineRule="auto"/>
        <w:ind w:left="369" w:hanging="369"/>
        <w:jc w:val="both"/>
      </w:pPr>
      <w:r>
        <w:rPr>
          <w:rFonts w:ascii="Times New Roman" w:hAnsi="Times New Roman" w:eastAsia="Times New Roman"/>
          <w:sz w:val="24"/>
        </w:rPr>
        <w:t>(3) Za nabave čija je procijenjena vrijednost veća od 15.000,00 eura postupak se pokreće odlukom ili drugim dokazivim pisanim odobrenjem direktora.</w:t>
      </w:r>
    </w:p>
    <w:p>
      <w:pPr>
        <w:spacing w:after="60" w:line="252" w:lineRule="auto"/>
        <w:ind w:left="369" w:hanging="369"/>
        <w:jc w:val="both"/>
      </w:pPr>
      <w:r>
        <w:rPr>
          <w:rFonts w:ascii="Times New Roman" w:hAnsi="Times New Roman" w:eastAsia="Times New Roman"/>
          <w:sz w:val="24"/>
        </w:rPr>
        <w:t>(4) Direktor za provedbu pojedinog postupka može odrediti jednu ili više ovlaštenih osoba. Za jednostavnu nabavu ovim Pravilnikom ne propisuje se obvezno osnivanje povjerenstva, osim ako direktor zbog složenosti ili vrijednosti predmeta nabave odluči drukčije.</w:t>
      </w:r>
    </w:p>
    <w:p>
      <w:pPr>
        <w:spacing w:before="160" w:after="80"/>
        <w:jc w:val="center"/>
      </w:pPr>
      <w:r>
        <w:rPr>
          <w:rFonts w:ascii="Times New Roman" w:hAnsi="Times New Roman" w:eastAsia="Times New Roman"/>
          <w:b/>
          <w:sz w:val="24"/>
        </w:rPr>
        <w:t>Članak 6.</w:t>
      </w:r>
    </w:p>
    <w:p>
      <w:pPr>
        <w:spacing w:after="60" w:line="252" w:lineRule="auto"/>
        <w:ind w:left="369" w:hanging="369"/>
        <w:jc w:val="both"/>
      </w:pPr>
      <w:r>
        <w:rPr>
          <w:rFonts w:ascii="Times New Roman" w:hAnsi="Times New Roman" w:eastAsia="Times New Roman"/>
          <w:sz w:val="24"/>
        </w:rPr>
        <w:t>(1) Komunikacija u postupcima jednostavne nabave može se provoditi elektroničkom poštom i drugim dokazivim elektroničkim sredstvima, a za nabave za koje je to propisano ZJN-om putem modula jednostavne nabave u EOJN RH.</w:t>
      </w:r>
    </w:p>
    <w:p>
      <w:pPr>
        <w:spacing w:after="60" w:line="252" w:lineRule="auto"/>
        <w:ind w:left="369" w:hanging="369"/>
        <w:jc w:val="both"/>
      </w:pPr>
      <w:r>
        <w:rPr>
          <w:rFonts w:ascii="Times New Roman" w:hAnsi="Times New Roman" w:eastAsia="Times New Roman"/>
          <w:sz w:val="24"/>
        </w:rPr>
        <w:t>(2) Za nabave procijenjene vrijednosti jednake ili manje od 15.000,00 eura uporaba EOJN RH nije obvezna.</w:t>
      </w:r>
    </w:p>
    <w:p>
      <w:pPr>
        <w:spacing w:before="240" w:after="160"/>
        <w:jc w:val="center"/>
      </w:pPr>
      <w:r>
        <w:rPr>
          <w:rFonts w:ascii="Times New Roman" w:hAnsi="Times New Roman" w:eastAsia="Times New Roman"/>
          <w:b/>
          <w:sz w:val="24"/>
        </w:rPr>
        <w:t>III. VRIJEDNOSNI PRAGOVI I NAČIN PROVEDBE</w:t>
      </w:r>
    </w:p>
    <w:p>
      <w:pPr>
        <w:spacing w:before="160" w:after="80"/>
        <w:jc w:val="center"/>
      </w:pPr>
      <w:r>
        <w:rPr>
          <w:rFonts w:ascii="Times New Roman" w:hAnsi="Times New Roman" w:eastAsia="Times New Roman"/>
          <w:b/>
          <w:sz w:val="24"/>
        </w:rPr>
        <w:t>Članak 7.</w:t>
      </w:r>
    </w:p>
    <w:p>
      <w:pPr>
        <w:spacing w:after="60" w:line="252" w:lineRule="auto"/>
        <w:ind w:left="369" w:hanging="369"/>
        <w:jc w:val="both"/>
      </w:pPr>
      <w:r>
        <w:rPr>
          <w:rFonts w:ascii="Times New Roman" w:hAnsi="Times New Roman" w:eastAsia="Times New Roman"/>
          <w:sz w:val="24"/>
        </w:rPr>
        <w:t>(1) Postupak jednostavne nabave određuje se prema procijenjenoj vrijednosti predmeta nabave, bez PDV-a, kako slijedi:</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1928"/>
            <w:shd w:fill="D9E2F3"/>
            <w:vAlign w:val="center"/>
          </w:tcPr>
          <w:p>
            <w:pPr>
              <w:jc w:val="center"/>
            </w:pPr>
            <w:r>
              <w:rPr>
                <w:rFonts w:ascii="Times New Roman" w:hAnsi="Times New Roman"/>
                <w:b/>
                <w:sz w:val="20"/>
              </w:rPr>
              <w:t>Procijenjena vrijednost</w:t>
            </w:r>
          </w:p>
        </w:tc>
        <w:tc>
          <w:tcPr>
            <w:tcW w:type="dxa" w:w="1474"/>
            <w:shd w:fill="D9E2F3"/>
            <w:vAlign w:val="center"/>
          </w:tcPr>
          <w:p>
            <w:pPr>
              <w:jc w:val="center"/>
            </w:pPr>
            <w:r>
              <w:rPr>
                <w:rFonts w:ascii="Times New Roman" w:hAnsi="Times New Roman"/>
                <w:b/>
                <w:sz w:val="20"/>
              </w:rPr>
              <w:t>Roba i usluge</w:t>
            </w:r>
          </w:p>
        </w:tc>
        <w:tc>
          <w:tcPr>
            <w:tcW w:type="dxa" w:w="1474"/>
            <w:shd w:fill="D9E2F3"/>
            <w:vAlign w:val="center"/>
          </w:tcPr>
          <w:p>
            <w:pPr>
              <w:jc w:val="center"/>
            </w:pPr>
            <w:r>
              <w:rPr>
                <w:rFonts w:ascii="Times New Roman" w:hAnsi="Times New Roman"/>
                <w:b/>
                <w:sz w:val="20"/>
              </w:rPr>
              <w:t>Radovi</w:t>
            </w:r>
          </w:p>
        </w:tc>
        <w:tc>
          <w:tcPr>
            <w:tcW w:type="dxa" w:w="4025"/>
            <w:shd w:fill="D9E2F3"/>
            <w:vAlign w:val="center"/>
          </w:tcPr>
          <w:p>
            <w:pPr>
              <w:jc w:val="center"/>
            </w:pPr>
            <w:r>
              <w:rPr>
                <w:rFonts w:ascii="Times New Roman" w:hAnsi="Times New Roman"/>
                <w:b/>
                <w:sz w:val="20"/>
              </w:rPr>
              <w:t>Obvezni način provedbe</w:t>
            </w:r>
          </w:p>
        </w:tc>
      </w:tr>
      <w:tr>
        <w:tc>
          <w:tcPr>
            <w:tcW w:type="dxa" w:w="1928"/>
            <w:vAlign w:val="center"/>
            <w:tcMar>
              <w:top w:w="80" w:type="dxa"/>
              <w:start w:w="90" w:type="dxa"/>
              <w:bottom w:w="80" w:type="dxa"/>
              <w:end w:w="90" w:type="dxa"/>
            </w:tcMar>
          </w:tcPr>
          <w:p>
            <w:pPr>
              <w:jc w:val="center"/>
            </w:pPr>
            <w:r>
              <w:rPr>
                <w:rFonts w:ascii="Times New Roman" w:hAnsi="Times New Roman" w:eastAsia="Times New Roman"/>
                <w:sz w:val="19"/>
              </w:rPr>
              <w:t>do 15.000,00 €</w:t>
            </w:r>
          </w:p>
        </w:tc>
        <w:tc>
          <w:tcPr>
            <w:tcW w:type="dxa" w:w="1474"/>
            <w:vAlign w:val="center"/>
            <w:tcMar>
              <w:top w:w="80" w:type="dxa"/>
              <w:start w:w="90" w:type="dxa"/>
              <w:bottom w:w="80" w:type="dxa"/>
              <w:end w:w="90" w:type="dxa"/>
            </w:tcMar>
          </w:tcPr>
          <w:p>
            <w:pPr>
              <w:jc w:val="center"/>
            </w:pPr>
            <w:r>
              <w:rPr>
                <w:rFonts w:ascii="Times New Roman" w:hAnsi="Times New Roman" w:eastAsia="Times New Roman"/>
                <w:sz w:val="19"/>
              </w:rPr>
              <w:t>DA</w:t>
            </w:r>
          </w:p>
        </w:tc>
        <w:tc>
          <w:tcPr>
            <w:tcW w:type="dxa" w:w="1474"/>
            <w:vAlign w:val="center"/>
            <w:tcMar>
              <w:top w:w="80" w:type="dxa"/>
              <w:start w:w="90" w:type="dxa"/>
              <w:bottom w:w="80" w:type="dxa"/>
              <w:end w:w="90" w:type="dxa"/>
            </w:tcMar>
          </w:tcPr>
          <w:p>
            <w:pPr>
              <w:jc w:val="center"/>
            </w:pPr>
            <w:r>
              <w:rPr>
                <w:rFonts w:ascii="Times New Roman" w:hAnsi="Times New Roman" w:eastAsia="Times New Roman"/>
                <w:sz w:val="19"/>
              </w:rPr>
              <w:t>DA</w:t>
            </w:r>
          </w:p>
        </w:tc>
        <w:tc>
          <w:tcPr>
            <w:tcW w:type="dxa" w:w="4025"/>
            <w:vAlign w:val="center"/>
            <w:tcMar>
              <w:top w:w="80" w:type="dxa"/>
              <w:start w:w="90" w:type="dxa"/>
              <w:bottom w:w="80" w:type="dxa"/>
              <w:end w:w="90" w:type="dxa"/>
            </w:tcMar>
          </w:tcPr>
          <w:p>
            <w:pPr>
              <w:jc w:val="left"/>
            </w:pPr>
            <w:r>
              <w:rPr>
                <w:rFonts w:ascii="Times New Roman" w:hAnsi="Times New Roman" w:eastAsia="Times New Roman"/>
                <w:sz w:val="19"/>
              </w:rPr>
              <w:t>Izravno / jedan ili više dobavljača; bez obveznog EOJN RH</w:t>
            </w:r>
          </w:p>
        </w:tc>
      </w:tr>
      <w:tr>
        <w:tc>
          <w:tcPr>
            <w:tcW w:type="dxa" w:w="1928"/>
            <w:vAlign w:val="center"/>
            <w:tcMar>
              <w:top w:w="80" w:type="dxa"/>
              <w:start w:w="90" w:type="dxa"/>
              <w:bottom w:w="80" w:type="dxa"/>
              <w:end w:w="90" w:type="dxa"/>
            </w:tcMar>
          </w:tcPr>
          <w:p>
            <w:pPr>
              <w:jc w:val="center"/>
            </w:pPr>
            <w:r>
              <w:rPr>
                <w:rFonts w:ascii="Times New Roman" w:hAnsi="Times New Roman" w:eastAsia="Times New Roman"/>
                <w:sz w:val="19"/>
              </w:rPr>
              <w:t>&gt;15.000,00 € do 25.000,00 €</w:t>
            </w:r>
          </w:p>
        </w:tc>
        <w:tc>
          <w:tcPr>
            <w:tcW w:type="dxa" w:w="1474"/>
            <w:vAlign w:val="center"/>
            <w:tcMar>
              <w:top w:w="80" w:type="dxa"/>
              <w:start w:w="90" w:type="dxa"/>
              <w:bottom w:w="80" w:type="dxa"/>
              <w:end w:w="90" w:type="dxa"/>
            </w:tcMar>
          </w:tcPr>
          <w:p>
            <w:pPr>
              <w:jc w:val="center"/>
            </w:pPr>
            <w:r>
              <w:rPr>
                <w:rFonts w:ascii="Times New Roman" w:hAnsi="Times New Roman" w:eastAsia="Times New Roman"/>
                <w:sz w:val="19"/>
              </w:rPr>
              <w:t>DA</w:t>
            </w:r>
          </w:p>
        </w:tc>
        <w:tc>
          <w:tcPr>
            <w:tcW w:type="dxa" w:w="1474"/>
            <w:vAlign w:val="center"/>
            <w:tcMar>
              <w:top w:w="80" w:type="dxa"/>
              <w:start w:w="90" w:type="dxa"/>
              <w:bottom w:w="80" w:type="dxa"/>
              <w:end w:w="90" w:type="dxa"/>
            </w:tcMar>
          </w:tcPr>
          <w:p>
            <w:pPr>
              <w:jc w:val="center"/>
            </w:pPr>
            <w:r>
              <w:rPr>
                <w:rFonts w:ascii="Times New Roman" w:hAnsi="Times New Roman" w:eastAsia="Times New Roman"/>
                <w:sz w:val="19"/>
              </w:rPr>
              <w:t>—</w:t>
            </w:r>
          </w:p>
        </w:tc>
        <w:tc>
          <w:tcPr>
            <w:tcW w:type="dxa" w:w="4025"/>
            <w:vAlign w:val="center"/>
            <w:tcMar>
              <w:top w:w="80" w:type="dxa"/>
              <w:start w:w="90" w:type="dxa"/>
              <w:bottom w:w="80" w:type="dxa"/>
              <w:end w:w="90" w:type="dxa"/>
            </w:tcMar>
          </w:tcPr>
          <w:p>
            <w:pPr>
              <w:jc w:val="left"/>
            </w:pPr>
            <w:r>
              <w:rPr>
                <w:rFonts w:ascii="Times New Roman" w:hAnsi="Times New Roman" w:eastAsia="Times New Roman"/>
                <w:sz w:val="19"/>
              </w:rPr>
              <w:t>EOJN RH; poziv jednom ili više odabranih subjekata</w:t>
            </w:r>
          </w:p>
        </w:tc>
      </w:tr>
      <w:tr>
        <w:tc>
          <w:tcPr>
            <w:tcW w:type="dxa" w:w="1928"/>
            <w:vAlign w:val="center"/>
            <w:tcMar>
              <w:top w:w="80" w:type="dxa"/>
              <w:start w:w="90" w:type="dxa"/>
              <w:bottom w:w="80" w:type="dxa"/>
              <w:end w:w="90" w:type="dxa"/>
            </w:tcMar>
          </w:tcPr>
          <w:p>
            <w:pPr>
              <w:jc w:val="center"/>
            </w:pPr>
            <w:r>
              <w:rPr>
                <w:rFonts w:ascii="Times New Roman" w:hAnsi="Times New Roman" w:eastAsia="Times New Roman"/>
                <w:sz w:val="19"/>
              </w:rPr>
              <w:t>&gt;15.000,00 € do 45.000,00 €</w:t>
            </w:r>
          </w:p>
        </w:tc>
        <w:tc>
          <w:tcPr>
            <w:tcW w:type="dxa" w:w="1474"/>
            <w:vAlign w:val="center"/>
            <w:tcMar>
              <w:top w:w="80" w:type="dxa"/>
              <w:start w:w="90" w:type="dxa"/>
              <w:bottom w:w="80" w:type="dxa"/>
              <w:end w:w="90" w:type="dxa"/>
            </w:tcMar>
          </w:tcPr>
          <w:p>
            <w:pPr>
              <w:jc w:val="center"/>
            </w:pPr>
            <w:r>
              <w:rPr>
                <w:rFonts w:ascii="Times New Roman" w:hAnsi="Times New Roman" w:eastAsia="Times New Roman"/>
                <w:sz w:val="19"/>
              </w:rPr>
              <w:t>—</w:t>
            </w:r>
          </w:p>
        </w:tc>
        <w:tc>
          <w:tcPr>
            <w:tcW w:type="dxa" w:w="1474"/>
            <w:vAlign w:val="center"/>
            <w:tcMar>
              <w:top w:w="80" w:type="dxa"/>
              <w:start w:w="90" w:type="dxa"/>
              <w:bottom w:w="80" w:type="dxa"/>
              <w:end w:w="90" w:type="dxa"/>
            </w:tcMar>
          </w:tcPr>
          <w:p>
            <w:pPr>
              <w:jc w:val="center"/>
            </w:pPr>
            <w:r>
              <w:rPr>
                <w:rFonts w:ascii="Times New Roman" w:hAnsi="Times New Roman" w:eastAsia="Times New Roman"/>
                <w:sz w:val="19"/>
              </w:rPr>
              <w:t>DA</w:t>
            </w:r>
          </w:p>
        </w:tc>
        <w:tc>
          <w:tcPr>
            <w:tcW w:type="dxa" w:w="4025"/>
            <w:vAlign w:val="center"/>
            <w:tcMar>
              <w:top w:w="80" w:type="dxa"/>
              <w:start w:w="90" w:type="dxa"/>
              <w:bottom w:w="80" w:type="dxa"/>
              <w:end w:w="90" w:type="dxa"/>
            </w:tcMar>
          </w:tcPr>
          <w:p>
            <w:pPr>
              <w:jc w:val="left"/>
            </w:pPr>
            <w:r>
              <w:rPr>
                <w:rFonts w:ascii="Times New Roman" w:hAnsi="Times New Roman" w:eastAsia="Times New Roman"/>
                <w:sz w:val="19"/>
              </w:rPr>
              <w:t>EOJN RH; poziv jednom ili više odabranih subjekata</w:t>
            </w:r>
          </w:p>
        </w:tc>
      </w:tr>
      <w:tr>
        <w:tc>
          <w:tcPr>
            <w:tcW w:type="dxa" w:w="1928"/>
            <w:vAlign w:val="center"/>
            <w:tcMar>
              <w:top w:w="80" w:type="dxa"/>
              <w:start w:w="90" w:type="dxa"/>
              <w:bottom w:w="80" w:type="dxa"/>
              <w:end w:w="90" w:type="dxa"/>
            </w:tcMar>
          </w:tcPr>
          <w:p>
            <w:pPr>
              <w:jc w:val="center"/>
            </w:pPr>
            <w:r>
              <w:rPr>
                <w:rFonts w:ascii="Times New Roman" w:hAnsi="Times New Roman" w:eastAsia="Times New Roman"/>
                <w:sz w:val="19"/>
              </w:rPr>
              <w:t>&gt;25.000,00 € do &lt;50.000,00 €</w:t>
            </w:r>
          </w:p>
        </w:tc>
        <w:tc>
          <w:tcPr>
            <w:tcW w:type="dxa" w:w="1474"/>
            <w:vAlign w:val="center"/>
            <w:tcMar>
              <w:top w:w="80" w:type="dxa"/>
              <w:start w:w="90" w:type="dxa"/>
              <w:bottom w:w="80" w:type="dxa"/>
              <w:end w:w="90" w:type="dxa"/>
            </w:tcMar>
          </w:tcPr>
          <w:p>
            <w:pPr>
              <w:jc w:val="center"/>
            </w:pPr>
            <w:r>
              <w:rPr>
                <w:rFonts w:ascii="Times New Roman" w:hAnsi="Times New Roman" w:eastAsia="Times New Roman"/>
                <w:sz w:val="19"/>
              </w:rPr>
              <w:t>DA</w:t>
            </w:r>
          </w:p>
        </w:tc>
        <w:tc>
          <w:tcPr>
            <w:tcW w:type="dxa" w:w="1474"/>
            <w:vAlign w:val="center"/>
            <w:tcMar>
              <w:top w:w="80" w:type="dxa"/>
              <w:start w:w="90" w:type="dxa"/>
              <w:bottom w:w="80" w:type="dxa"/>
              <w:end w:w="90" w:type="dxa"/>
            </w:tcMar>
          </w:tcPr>
          <w:p>
            <w:pPr>
              <w:jc w:val="center"/>
            </w:pPr>
            <w:r>
              <w:rPr>
                <w:rFonts w:ascii="Times New Roman" w:hAnsi="Times New Roman" w:eastAsia="Times New Roman"/>
                <w:sz w:val="19"/>
              </w:rPr>
              <w:t>—</w:t>
            </w:r>
          </w:p>
        </w:tc>
        <w:tc>
          <w:tcPr>
            <w:tcW w:type="dxa" w:w="4025"/>
            <w:vAlign w:val="center"/>
            <w:tcMar>
              <w:top w:w="80" w:type="dxa"/>
              <w:start w:w="90" w:type="dxa"/>
              <w:bottom w:w="80" w:type="dxa"/>
              <w:end w:w="90" w:type="dxa"/>
            </w:tcMar>
          </w:tcPr>
          <w:p>
            <w:pPr>
              <w:jc w:val="left"/>
            </w:pPr>
            <w:r>
              <w:rPr>
                <w:rFonts w:ascii="Times New Roman" w:hAnsi="Times New Roman" w:eastAsia="Times New Roman"/>
                <w:sz w:val="19"/>
              </w:rPr>
              <w:t>EOJN RH; obvezna javna objava</w:t>
            </w:r>
          </w:p>
        </w:tc>
      </w:tr>
      <w:tr>
        <w:tc>
          <w:tcPr>
            <w:tcW w:type="dxa" w:w="1928"/>
            <w:vAlign w:val="center"/>
            <w:tcMar>
              <w:top w:w="80" w:type="dxa"/>
              <w:start w:w="90" w:type="dxa"/>
              <w:bottom w:w="80" w:type="dxa"/>
              <w:end w:w="90" w:type="dxa"/>
            </w:tcMar>
          </w:tcPr>
          <w:p>
            <w:pPr>
              <w:jc w:val="center"/>
            </w:pPr>
            <w:r>
              <w:rPr>
                <w:rFonts w:ascii="Times New Roman" w:hAnsi="Times New Roman" w:eastAsia="Times New Roman"/>
                <w:sz w:val="19"/>
              </w:rPr>
              <w:t>&gt;45.000,00 € do &lt;100.000,00 €</w:t>
            </w:r>
          </w:p>
        </w:tc>
        <w:tc>
          <w:tcPr>
            <w:tcW w:type="dxa" w:w="1474"/>
            <w:vAlign w:val="center"/>
            <w:tcMar>
              <w:top w:w="80" w:type="dxa"/>
              <w:start w:w="90" w:type="dxa"/>
              <w:bottom w:w="80" w:type="dxa"/>
              <w:end w:w="90" w:type="dxa"/>
            </w:tcMar>
          </w:tcPr>
          <w:p>
            <w:pPr>
              <w:jc w:val="center"/>
            </w:pPr>
            <w:r>
              <w:rPr>
                <w:rFonts w:ascii="Times New Roman" w:hAnsi="Times New Roman" w:eastAsia="Times New Roman"/>
                <w:sz w:val="19"/>
              </w:rPr>
              <w:t>—</w:t>
            </w:r>
          </w:p>
        </w:tc>
        <w:tc>
          <w:tcPr>
            <w:tcW w:type="dxa" w:w="1474"/>
            <w:vAlign w:val="center"/>
            <w:tcMar>
              <w:top w:w="80" w:type="dxa"/>
              <w:start w:w="90" w:type="dxa"/>
              <w:bottom w:w="80" w:type="dxa"/>
              <w:end w:w="90" w:type="dxa"/>
            </w:tcMar>
          </w:tcPr>
          <w:p>
            <w:pPr>
              <w:jc w:val="center"/>
            </w:pPr>
            <w:r>
              <w:rPr>
                <w:rFonts w:ascii="Times New Roman" w:hAnsi="Times New Roman" w:eastAsia="Times New Roman"/>
                <w:sz w:val="19"/>
              </w:rPr>
              <w:t>DA</w:t>
            </w:r>
          </w:p>
        </w:tc>
        <w:tc>
          <w:tcPr>
            <w:tcW w:type="dxa" w:w="4025"/>
            <w:vAlign w:val="center"/>
            <w:tcMar>
              <w:top w:w="80" w:type="dxa"/>
              <w:start w:w="90" w:type="dxa"/>
              <w:bottom w:w="80" w:type="dxa"/>
              <w:end w:w="90" w:type="dxa"/>
            </w:tcMar>
          </w:tcPr>
          <w:p>
            <w:pPr>
              <w:jc w:val="left"/>
            </w:pPr>
            <w:r>
              <w:rPr>
                <w:rFonts w:ascii="Times New Roman" w:hAnsi="Times New Roman" w:eastAsia="Times New Roman"/>
                <w:sz w:val="19"/>
              </w:rPr>
              <w:t>EOJN RH; obvezna javna objava</w:t>
            </w:r>
          </w:p>
        </w:tc>
      </w:tr>
    </w:tbl>
    <w:p>
      <w:pPr>
        <w:spacing w:after="60" w:line="252" w:lineRule="auto"/>
        <w:ind w:left="369" w:hanging="369"/>
        <w:jc w:val="both"/>
      </w:pPr>
      <w:r>
        <w:rPr>
          <w:rFonts w:ascii="Times New Roman" w:hAnsi="Times New Roman" w:eastAsia="Times New Roman"/>
          <w:sz w:val="24"/>
        </w:rPr>
        <w:t>(2) Za odabir je dovoljna jedna valjana ponuda, neovisno o tome je li poziv upućen jednom ili većem broju gospodarskih subjekata odnosno je li postupak proveden javnom objavom.</w:t>
      </w:r>
    </w:p>
    <w:p>
      <w:pPr>
        <w:spacing w:after="60" w:line="252" w:lineRule="auto"/>
        <w:ind w:left="369" w:hanging="369"/>
        <w:jc w:val="both"/>
      </w:pPr>
      <w:r>
        <w:rPr>
          <w:rFonts w:ascii="Times New Roman" w:hAnsi="Times New Roman" w:eastAsia="Times New Roman"/>
          <w:sz w:val="24"/>
        </w:rPr>
        <w:t>(3) Društvo uvijek može, kada to smatra svrhovitim, pozvati veći broj gospodarskih subjekata ili provesti javnu objavu i kada to prema vrijednosti nabave nije obvezno.</w:t>
      </w:r>
    </w:p>
    <w:p>
      <w:pPr>
        <w:spacing w:before="240" w:after="160"/>
        <w:jc w:val="center"/>
      </w:pPr>
      <w:r>
        <w:rPr>
          <w:rFonts w:ascii="Times New Roman" w:hAnsi="Times New Roman" w:eastAsia="Times New Roman"/>
          <w:b/>
          <w:sz w:val="24"/>
        </w:rPr>
        <w:t>IV. NABAVA PROCIJENJENE VRIJEDNOSTI DO 15.000,00 EURA</w:t>
      </w:r>
    </w:p>
    <w:p>
      <w:pPr>
        <w:spacing w:before="160" w:after="80"/>
        <w:jc w:val="center"/>
      </w:pPr>
      <w:r>
        <w:rPr>
          <w:rFonts w:ascii="Times New Roman" w:hAnsi="Times New Roman" w:eastAsia="Times New Roman"/>
          <w:b/>
          <w:sz w:val="24"/>
        </w:rPr>
        <w:t>Članak 8.</w:t>
      </w:r>
    </w:p>
    <w:p>
      <w:pPr>
        <w:spacing w:after="60" w:line="252" w:lineRule="auto"/>
        <w:ind w:left="369" w:hanging="369"/>
        <w:jc w:val="both"/>
      </w:pPr>
      <w:r>
        <w:rPr>
          <w:rFonts w:ascii="Times New Roman" w:hAnsi="Times New Roman" w:eastAsia="Times New Roman"/>
          <w:sz w:val="24"/>
        </w:rPr>
        <w:t>(1) Nabava robe, usluga i radova procijenjene vrijednosti jednake ili manje od 15.000,00 eura bez PDV-a može se provesti izravno s jednim gospodarskim subjektom, bez obveze prikupljanja više ponuda.</w:t>
      </w:r>
    </w:p>
    <w:p>
      <w:pPr>
        <w:spacing w:after="60" w:line="252" w:lineRule="auto"/>
        <w:ind w:left="369" w:hanging="369"/>
        <w:jc w:val="both"/>
      </w:pPr>
      <w:r>
        <w:rPr>
          <w:rFonts w:ascii="Times New Roman" w:hAnsi="Times New Roman" w:eastAsia="Times New Roman"/>
          <w:sz w:val="24"/>
        </w:rPr>
        <w:t>(2) Nabava se može provesti prihvatom ponude, izdavanjem narudžbenice, naloga ili zaključnice, sklapanjem ugovora, neposrednom kupnjom ili na drugi prikladan i dokaziv način.</w:t>
      </w:r>
    </w:p>
    <w:p>
      <w:pPr>
        <w:spacing w:after="60" w:line="252" w:lineRule="auto"/>
        <w:ind w:left="369" w:hanging="369"/>
        <w:jc w:val="both"/>
      </w:pPr>
      <w:r>
        <w:rPr>
          <w:rFonts w:ascii="Times New Roman" w:hAnsi="Times New Roman" w:eastAsia="Times New Roman"/>
          <w:sz w:val="24"/>
        </w:rPr>
        <w:t>(3) Društvo može, kada smatra da je to gospodarski opravdano, zatražiti ponude od više gospodarskih subjekata, ali to nije obveza.</w:t>
      </w:r>
    </w:p>
    <w:p>
      <w:pPr>
        <w:spacing w:after="60" w:line="252" w:lineRule="auto"/>
        <w:ind w:left="369" w:hanging="369"/>
        <w:jc w:val="both"/>
      </w:pPr>
      <w:r>
        <w:rPr>
          <w:rFonts w:ascii="Times New Roman" w:hAnsi="Times New Roman" w:eastAsia="Times New Roman"/>
          <w:sz w:val="24"/>
        </w:rPr>
        <w:t>(4) Nabava mora biti odgovarajuće dokumentirana, razmjerno predmetu i vrijednosti nabave, primjerice ponudom, narudžbenicom, ugovorom, računom, elektroničkom prepiskom ili drugom odgovarajućom ispravom.</w:t>
      </w:r>
    </w:p>
    <w:p>
      <w:pPr>
        <w:spacing w:after="60" w:line="252" w:lineRule="auto"/>
        <w:ind w:left="369" w:hanging="369"/>
        <w:jc w:val="both"/>
      </w:pPr>
      <w:r>
        <w:rPr>
          <w:rFonts w:ascii="Times New Roman" w:hAnsi="Times New Roman" w:eastAsia="Times New Roman"/>
          <w:sz w:val="24"/>
        </w:rPr>
        <w:t>(5) Za nabave male pojedinačne vrijednosti, kada priroda predmeta nabave to opravdava, dopuštena je neposredna kupnja uz račun koji sadrži bitne elemente nabave.</w:t>
      </w:r>
    </w:p>
    <w:p>
      <w:pPr>
        <w:spacing w:before="240" w:after="160"/>
        <w:jc w:val="center"/>
      </w:pPr>
      <w:r>
        <w:rPr>
          <w:rFonts w:ascii="Times New Roman" w:hAnsi="Times New Roman" w:eastAsia="Times New Roman"/>
          <w:b/>
          <w:sz w:val="24"/>
        </w:rPr>
        <w:t>V. NABAVA IZNAD 15.000,00 EURA BEZ OBVEZNE JAVNE OBJAVE</w:t>
      </w:r>
    </w:p>
    <w:p>
      <w:pPr>
        <w:spacing w:before="160" w:after="80"/>
        <w:jc w:val="center"/>
      </w:pPr>
      <w:r>
        <w:rPr>
          <w:rFonts w:ascii="Times New Roman" w:hAnsi="Times New Roman" w:eastAsia="Times New Roman"/>
          <w:b/>
          <w:sz w:val="24"/>
        </w:rPr>
        <w:t>Članak 9.</w:t>
      </w:r>
    </w:p>
    <w:p>
      <w:pPr>
        <w:spacing w:after="60" w:line="252" w:lineRule="auto"/>
        <w:ind w:left="369" w:hanging="369"/>
        <w:jc w:val="both"/>
      </w:pPr>
      <w:r>
        <w:rPr>
          <w:rFonts w:ascii="Times New Roman" w:hAnsi="Times New Roman" w:eastAsia="Times New Roman"/>
          <w:sz w:val="24"/>
        </w:rPr>
        <w:t>(1) Za nabavu robe i usluga procijenjene vrijednosti veće od 15.000,00 eura, a jednake ili manje od 25.000,00 eura, te za nabavu radova procijenjene vrijednosti veće od 15.000,00 eura, a jednake ili manje od 45.000,00 eura, postupak se obvezno provodi putem modula jednostavne nabave u EOJN RH.</w:t>
      </w:r>
    </w:p>
    <w:p>
      <w:pPr>
        <w:spacing w:after="60" w:line="252" w:lineRule="auto"/>
        <w:ind w:left="369" w:hanging="369"/>
        <w:jc w:val="both"/>
      </w:pPr>
      <w:r>
        <w:rPr>
          <w:rFonts w:ascii="Times New Roman" w:hAnsi="Times New Roman" w:eastAsia="Times New Roman"/>
          <w:sz w:val="24"/>
        </w:rPr>
        <w:t>(2) Društvo putem EOJN RH upućuje poziv na dostavu ponude jednom ili više gospodarskih subjekata po vlastitom izboru.</w:t>
      </w:r>
    </w:p>
    <w:p>
      <w:pPr>
        <w:spacing w:after="60" w:line="252" w:lineRule="auto"/>
        <w:ind w:left="369" w:hanging="369"/>
        <w:jc w:val="both"/>
      </w:pPr>
      <w:r>
        <w:rPr>
          <w:rFonts w:ascii="Times New Roman" w:hAnsi="Times New Roman" w:eastAsia="Times New Roman"/>
          <w:sz w:val="24"/>
        </w:rPr>
        <w:t>(3) Pozivanje jednog gospodarskog subjekta smatra se redovnim načinom provedbe ovog postupka i nije ga potrebno posebno obrazlagati.</w:t>
      </w:r>
    </w:p>
    <w:p>
      <w:pPr>
        <w:spacing w:after="60" w:line="252" w:lineRule="auto"/>
        <w:ind w:left="369" w:hanging="369"/>
        <w:jc w:val="both"/>
      </w:pPr>
      <w:r>
        <w:rPr>
          <w:rFonts w:ascii="Times New Roman" w:hAnsi="Times New Roman" w:eastAsia="Times New Roman"/>
          <w:sz w:val="24"/>
        </w:rPr>
        <w:t>(4) Društvo može pozvati više gospodarskih subjekata kada ocijeni da je to svrhovito radi provjere tržišnih cijena, kvalitete, rokova ili drugih uvjeta.</w:t>
      </w:r>
    </w:p>
    <w:p>
      <w:pPr>
        <w:spacing w:after="60" w:line="252" w:lineRule="auto"/>
        <w:ind w:left="369" w:hanging="369"/>
        <w:jc w:val="both"/>
      </w:pPr>
      <w:r>
        <w:rPr>
          <w:rFonts w:ascii="Times New Roman" w:hAnsi="Times New Roman" w:eastAsia="Times New Roman"/>
          <w:sz w:val="24"/>
        </w:rPr>
        <w:t>(5) Rok za dostavu ponude određuje se prema složenosti predmeta nabave i u pravilu ne može biti kraći od tri radna dana, osim u slučaju opravdane žurnosti.</w:t>
      </w:r>
    </w:p>
    <w:p>
      <w:pPr>
        <w:spacing w:before="240" w:after="160"/>
        <w:jc w:val="center"/>
      </w:pPr>
      <w:r>
        <w:rPr>
          <w:rFonts w:ascii="Times New Roman" w:hAnsi="Times New Roman" w:eastAsia="Times New Roman"/>
          <w:b/>
          <w:sz w:val="24"/>
        </w:rPr>
        <w:t>VI. NABAVA S OBVEZNOM JAVNOM OBJAVOM U EOJN RH</w:t>
      </w:r>
    </w:p>
    <w:p>
      <w:pPr>
        <w:spacing w:before="160" w:after="80"/>
        <w:jc w:val="center"/>
      </w:pPr>
      <w:r>
        <w:rPr>
          <w:rFonts w:ascii="Times New Roman" w:hAnsi="Times New Roman" w:eastAsia="Times New Roman"/>
          <w:b/>
          <w:sz w:val="24"/>
        </w:rPr>
        <w:t>Članak 10.</w:t>
      </w:r>
    </w:p>
    <w:p>
      <w:pPr>
        <w:spacing w:after="60" w:line="252" w:lineRule="auto"/>
        <w:ind w:left="369" w:hanging="369"/>
        <w:jc w:val="both"/>
      </w:pPr>
      <w:r>
        <w:rPr>
          <w:rFonts w:ascii="Times New Roman" w:hAnsi="Times New Roman" w:eastAsia="Times New Roman"/>
          <w:sz w:val="24"/>
        </w:rPr>
        <w:t>(1) Za nabavu robe i usluga procijenjene vrijednosti veće od 25.000,00 eura, a manje od 50.000,00 eura, te za nabavu radova procijenjene vrijednosti veće od 45.000,00 eura, a manje od 100.000,00 eura, Društvo je obvezno provesti postupak putem javne objave u modulu jednostavne nabave EOJN RH.</w:t>
      </w:r>
    </w:p>
    <w:p>
      <w:pPr>
        <w:spacing w:after="60" w:line="252" w:lineRule="auto"/>
        <w:ind w:left="369" w:hanging="369"/>
        <w:jc w:val="both"/>
      </w:pPr>
      <w:r>
        <w:rPr>
          <w:rFonts w:ascii="Times New Roman" w:hAnsi="Times New Roman" w:eastAsia="Times New Roman"/>
          <w:sz w:val="24"/>
        </w:rPr>
        <w:t>(2) U postupku javne objave ponudu može dostaviti svaki zainteresirani gospodarski subjekt.</w:t>
      </w:r>
    </w:p>
    <w:p>
      <w:pPr>
        <w:spacing w:after="60" w:line="252" w:lineRule="auto"/>
        <w:ind w:left="369" w:hanging="369"/>
        <w:jc w:val="both"/>
      </w:pPr>
      <w:r>
        <w:rPr>
          <w:rFonts w:ascii="Times New Roman" w:hAnsi="Times New Roman" w:eastAsia="Times New Roman"/>
          <w:sz w:val="24"/>
        </w:rPr>
        <w:t>(3) Rok za dostavu ponuda u pravilu ne može biti kraći od pet radnih dana od dana javne objave, osim u slučaju opravdane žurnosti.</w:t>
      </w:r>
    </w:p>
    <w:p>
      <w:pPr>
        <w:spacing w:after="60" w:line="252" w:lineRule="auto"/>
        <w:ind w:left="369" w:hanging="369"/>
        <w:jc w:val="both"/>
      </w:pPr>
      <w:r>
        <w:rPr>
          <w:rFonts w:ascii="Times New Roman" w:hAnsi="Times New Roman" w:eastAsia="Times New Roman"/>
          <w:sz w:val="24"/>
        </w:rPr>
        <w:t>(4) Iznimno, javna objava nije obvezna ako: 1. u prethodno provedenom postupku nije podnesena nijedna ponuda ili nijedna valjana ponuda, pod uvjetom da početni uvjeti nisu bitno izmijenjeni; 2. zbog objektivnih razloga predmet nabave može izvršiti, isporučiti ili pružiti samo određeni gospodarski subjekt iz tehničkih razloga, radi zaštite isključivih prava, uključujući prava intelektualnog vlasništva, ili kada je predmet nabave stvaranje ili stjecanje jedinstvenog umjetničkog djela ili umjetničke izvedbe; ili 3. postoji iznimna žurnost uzrokovana događajima koje Društvo nije moglo predvidjeti niti na njih utjecati.</w:t>
      </w:r>
    </w:p>
    <w:p>
      <w:pPr>
        <w:spacing w:after="60" w:line="252" w:lineRule="auto"/>
        <w:ind w:left="369" w:hanging="369"/>
        <w:jc w:val="both"/>
      </w:pPr>
      <w:r>
        <w:rPr>
          <w:rFonts w:ascii="Times New Roman" w:hAnsi="Times New Roman" w:eastAsia="Times New Roman"/>
          <w:sz w:val="24"/>
        </w:rPr>
        <w:t>(5) U slučajevima iz stavka 4. postupak se provodi putem modula jednostavne nabave u EOJN RH bez javne objave, a razlog za primjenu iznimke mora se navesti i obrazložiti u EOJN RH.</w:t>
      </w:r>
    </w:p>
    <w:p>
      <w:pPr>
        <w:spacing w:before="240" w:after="160"/>
        <w:jc w:val="center"/>
      </w:pPr>
      <w:r>
        <w:rPr>
          <w:rFonts w:ascii="Times New Roman" w:hAnsi="Times New Roman" w:eastAsia="Times New Roman"/>
          <w:b/>
          <w:sz w:val="24"/>
        </w:rPr>
        <w:t>VII. POZIV, PONUDE I KRITERIJ ODABIRA</w:t>
      </w:r>
    </w:p>
    <w:p>
      <w:pPr>
        <w:spacing w:before="160" w:after="80"/>
        <w:jc w:val="center"/>
      </w:pPr>
      <w:r>
        <w:rPr>
          <w:rFonts w:ascii="Times New Roman" w:hAnsi="Times New Roman" w:eastAsia="Times New Roman"/>
          <w:b/>
          <w:sz w:val="24"/>
        </w:rPr>
        <w:t>Članak 11.</w:t>
      </w:r>
    </w:p>
    <w:p>
      <w:pPr>
        <w:spacing w:after="60" w:line="252" w:lineRule="auto"/>
        <w:ind w:left="369" w:hanging="369"/>
        <w:jc w:val="both"/>
      </w:pPr>
      <w:r>
        <w:rPr>
          <w:rFonts w:ascii="Times New Roman" w:hAnsi="Times New Roman" w:eastAsia="Times New Roman"/>
          <w:sz w:val="24"/>
        </w:rPr>
        <w:t>(1) Poziv na dostavu ponude sadrži podatke potrebne za izradu usporedive i valjane ponude, a osobito: podatke o Društvu, opis predmeta nabave, tehničke specifikacije ili troškovnik kada su potrebni, rok i mjesto izvršenja, rok i način dostave ponude, kriterij za odabir te osobu za kontakt.</w:t>
      </w:r>
    </w:p>
    <w:p>
      <w:pPr>
        <w:spacing w:after="60" w:line="252" w:lineRule="auto"/>
        <w:ind w:left="369" w:hanging="369"/>
        <w:jc w:val="both"/>
      </w:pPr>
      <w:r>
        <w:rPr>
          <w:rFonts w:ascii="Times New Roman" w:hAnsi="Times New Roman" w:eastAsia="Times New Roman"/>
          <w:sz w:val="24"/>
        </w:rPr>
        <w:t>(2) Ovisno o predmetu nabave, Društvo može odrediti uvjete sposobnosti, razloge isključenja, jamstva i druga sredstva osiguranja, ali samo u opsegu koji je razmjeran predmetu i vrijednosti nabave.</w:t>
      </w:r>
    </w:p>
    <w:p>
      <w:pPr>
        <w:spacing w:after="60" w:line="252" w:lineRule="auto"/>
        <w:ind w:left="369" w:hanging="369"/>
        <w:jc w:val="both"/>
      </w:pPr>
      <w:r>
        <w:rPr>
          <w:rFonts w:ascii="Times New Roman" w:hAnsi="Times New Roman" w:eastAsia="Times New Roman"/>
          <w:sz w:val="24"/>
        </w:rPr>
        <w:t>(3) Kriterij za odabir može biti najniža cijena, najniži trošak ili ekonomski najpovoljnija ponuda.</w:t>
      </w:r>
    </w:p>
    <w:p>
      <w:pPr>
        <w:spacing w:after="60" w:line="252" w:lineRule="auto"/>
        <w:ind w:left="369" w:hanging="369"/>
        <w:jc w:val="both"/>
      </w:pPr>
      <w:r>
        <w:rPr>
          <w:rFonts w:ascii="Times New Roman" w:hAnsi="Times New Roman" w:eastAsia="Times New Roman"/>
          <w:sz w:val="24"/>
        </w:rPr>
        <w:t>(4) Ako se poziv upućuje samo jednom gospodarskom subjektu, Društvo može prihvatiti njegovu ponudu ako ispunjava uvjete nabave i ako je ponuđena cijena prihvatljiva u odnosu na osigurana sredstva i tržišne okolnosti.</w:t>
      </w:r>
    </w:p>
    <w:p>
      <w:pPr>
        <w:spacing w:before="160" w:after="80"/>
        <w:jc w:val="center"/>
      </w:pPr>
      <w:r>
        <w:rPr>
          <w:rFonts w:ascii="Times New Roman" w:hAnsi="Times New Roman" w:eastAsia="Times New Roman"/>
          <w:b/>
          <w:sz w:val="24"/>
        </w:rPr>
        <w:t>Članak 12.</w:t>
      </w:r>
    </w:p>
    <w:p>
      <w:pPr>
        <w:spacing w:after="60" w:line="252" w:lineRule="auto"/>
        <w:ind w:left="369" w:hanging="369"/>
        <w:jc w:val="both"/>
      </w:pPr>
      <w:r>
        <w:rPr>
          <w:rFonts w:ascii="Times New Roman" w:hAnsi="Times New Roman" w:eastAsia="Times New Roman"/>
          <w:sz w:val="24"/>
        </w:rPr>
        <w:t>(1) Ponude se pregledavaju i ocjenjuju prema uvjetima iz poziva odnosno podacima unesenima u EOJN RH.</w:t>
      </w:r>
    </w:p>
    <w:p>
      <w:pPr>
        <w:spacing w:after="60" w:line="252" w:lineRule="auto"/>
        <w:ind w:left="369" w:hanging="369"/>
        <w:jc w:val="both"/>
      </w:pPr>
      <w:r>
        <w:rPr>
          <w:rFonts w:ascii="Times New Roman" w:hAnsi="Times New Roman" w:eastAsia="Times New Roman"/>
          <w:sz w:val="24"/>
        </w:rPr>
        <w:t>(2) Društvo može od ponuditelja zatražiti pojašnjenje ili dopunu ponude, pod uvjetom da se time ne pregovara o bitnim elementima ponude na način kojim bi se narušila jednakost ponuditelja.</w:t>
      </w:r>
    </w:p>
    <w:p>
      <w:pPr>
        <w:spacing w:after="60" w:line="252" w:lineRule="auto"/>
        <w:ind w:left="369" w:hanging="369"/>
        <w:jc w:val="both"/>
      </w:pPr>
      <w:r>
        <w:rPr>
          <w:rFonts w:ascii="Times New Roman" w:hAnsi="Times New Roman" w:eastAsia="Times New Roman"/>
          <w:sz w:val="24"/>
        </w:rPr>
        <w:t>(3) Za postupke procijenjene vrijednosti veće od 15.000,00 eura sastavlja se zapisnik ili drugi odgovarajući elektronički zapis o pregledu i ocjeni ponuda te se donosi odluka o odabiru ili poništenju.</w:t>
      </w:r>
    </w:p>
    <w:p>
      <w:pPr>
        <w:spacing w:after="60" w:line="252" w:lineRule="auto"/>
        <w:ind w:left="369" w:hanging="369"/>
        <w:jc w:val="both"/>
      </w:pPr>
      <w:r>
        <w:rPr>
          <w:rFonts w:ascii="Times New Roman" w:hAnsi="Times New Roman" w:eastAsia="Times New Roman"/>
          <w:sz w:val="24"/>
        </w:rPr>
        <w:t>(4) Odluka se dostavlja ponuditeljima putem EOJN RH, a kada to tehnički nije moguće, drugim dokazivim putem.</w:t>
      </w:r>
    </w:p>
    <w:p>
      <w:pPr>
        <w:spacing w:before="240" w:after="160"/>
        <w:jc w:val="center"/>
      </w:pPr>
      <w:r>
        <w:rPr>
          <w:rFonts w:ascii="Times New Roman" w:hAnsi="Times New Roman" w:eastAsia="Times New Roman"/>
          <w:b/>
          <w:sz w:val="24"/>
        </w:rPr>
        <w:t>VIII. PONIŠTENJE POSTUPKA</w:t>
      </w:r>
    </w:p>
    <w:p>
      <w:pPr>
        <w:spacing w:before="160" w:after="80"/>
        <w:jc w:val="center"/>
      </w:pPr>
      <w:r>
        <w:rPr>
          <w:rFonts w:ascii="Times New Roman" w:hAnsi="Times New Roman" w:eastAsia="Times New Roman"/>
          <w:b/>
          <w:sz w:val="24"/>
        </w:rPr>
        <w:t>Članak 13.</w:t>
      </w:r>
    </w:p>
    <w:p>
      <w:pPr>
        <w:spacing w:after="60" w:line="252" w:lineRule="auto"/>
        <w:ind w:left="369" w:hanging="369"/>
        <w:jc w:val="both"/>
      </w:pPr>
      <w:r>
        <w:rPr>
          <w:rFonts w:ascii="Times New Roman" w:hAnsi="Times New Roman" w:eastAsia="Times New Roman"/>
          <w:sz w:val="24"/>
        </w:rPr>
        <w:t>(1) Društvo može poništiti postupak ako nije zaprimljena nijedna valjana ponuda, ako ponuđena cijena prelazi procijenjenu vrijednost ili osigurana sredstva, ako je prestala potreba za nabavom, ako je potrebno bitno izmijeniti predmet ili uvjete nabave, ako su utvrđene nepravilnosti koje nije moguće otkloniti ili zbog drugih opravdanih razloga.</w:t>
      </w:r>
    </w:p>
    <w:p>
      <w:pPr>
        <w:spacing w:after="60" w:line="252" w:lineRule="auto"/>
        <w:ind w:left="369" w:hanging="369"/>
        <w:jc w:val="both"/>
      </w:pPr>
      <w:r>
        <w:rPr>
          <w:rFonts w:ascii="Times New Roman" w:hAnsi="Times New Roman" w:eastAsia="Times New Roman"/>
          <w:sz w:val="24"/>
        </w:rPr>
        <w:t>(2) Ako odabrani ponuditelj odustane od svoje ponude ili sklapanja ugovora, Društvo može odabrati sljedeću valjanu ponudu prema utvrđenom redoslijedu ili poništiti postupak.</w:t>
      </w:r>
    </w:p>
    <w:p>
      <w:pPr>
        <w:spacing w:before="240" w:after="160"/>
        <w:jc w:val="center"/>
      </w:pPr>
      <w:r>
        <w:rPr>
          <w:rFonts w:ascii="Times New Roman" w:hAnsi="Times New Roman" w:eastAsia="Times New Roman"/>
          <w:b/>
          <w:sz w:val="24"/>
        </w:rPr>
        <w:t>IX. PRAVNA ZAŠTITA</w:t>
      </w:r>
    </w:p>
    <w:p>
      <w:pPr>
        <w:spacing w:before="160" w:after="80"/>
        <w:jc w:val="center"/>
      </w:pPr>
      <w:r>
        <w:rPr>
          <w:rFonts w:ascii="Times New Roman" w:hAnsi="Times New Roman" w:eastAsia="Times New Roman"/>
          <w:b/>
          <w:sz w:val="24"/>
        </w:rPr>
        <w:t>Članak 14.</w:t>
      </w:r>
    </w:p>
    <w:p>
      <w:pPr>
        <w:spacing w:after="60" w:line="252" w:lineRule="auto"/>
        <w:ind w:left="369" w:hanging="369"/>
        <w:jc w:val="both"/>
      </w:pPr>
      <w:r>
        <w:rPr>
          <w:rFonts w:ascii="Times New Roman" w:hAnsi="Times New Roman" w:eastAsia="Times New Roman"/>
          <w:sz w:val="24"/>
        </w:rPr>
        <w:t>(1) U postupcima jednostavne nabave čija je procijenjena vrijednost veća od 15.000,00 eura gospodarski subjekt ima pravo podnijeti prigovor direktoru Društva.</w:t>
      </w:r>
    </w:p>
    <w:p>
      <w:pPr>
        <w:spacing w:after="60" w:line="252" w:lineRule="auto"/>
        <w:ind w:left="369" w:hanging="369"/>
        <w:jc w:val="both"/>
      </w:pPr>
      <w:r>
        <w:rPr>
          <w:rFonts w:ascii="Times New Roman" w:hAnsi="Times New Roman" w:eastAsia="Times New Roman"/>
          <w:sz w:val="24"/>
        </w:rPr>
        <w:t>(2) Prigovor se podnosi u roku od tri radna dana od dana dostave odluke o odabiru ili odluke o poništenju, putem EOJN RH ako je to tehnički omogućeno, a u protivnom elektroničkom poštom na adresu navedenu u dokumentaciji postupka.</w:t>
      </w:r>
    </w:p>
    <w:p>
      <w:pPr>
        <w:spacing w:after="60" w:line="252" w:lineRule="auto"/>
        <w:ind w:left="369" w:hanging="369"/>
        <w:jc w:val="both"/>
      </w:pPr>
      <w:r>
        <w:rPr>
          <w:rFonts w:ascii="Times New Roman" w:hAnsi="Times New Roman" w:eastAsia="Times New Roman"/>
          <w:sz w:val="24"/>
        </w:rPr>
        <w:t>(3) Direktor odlučuje o urednom prigovoru u roku od pet radnih dana od dana njegova zaprimanja.</w:t>
      </w:r>
    </w:p>
    <w:p>
      <w:pPr>
        <w:spacing w:after="60" w:line="252" w:lineRule="auto"/>
        <w:ind w:left="369" w:hanging="369"/>
        <w:jc w:val="both"/>
      </w:pPr>
      <w:r>
        <w:rPr>
          <w:rFonts w:ascii="Times New Roman" w:hAnsi="Times New Roman" w:eastAsia="Times New Roman"/>
          <w:sz w:val="24"/>
        </w:rPr>
        <w:t>(4) Podnošenje prigovora ne odgađa sklapanje ugovora ili izdavanje narudžbenice, osim ako direktor ocijeni da bi nastavak postupka mogao utjecati na zakonitost postupka ili prouzročiti štetu Društvu.</w:t>
      </w:r>
    </w:p>
    <w:p>
      <w:pPr>
        <w:spacing w:after="60" w:line="252" w:lineRule="auto"/>
        <w:ind w:left="369" w:hanging="369"/>
        <w:jc w:val="both"/>
      </w:pPr>
      <w:r>
        <w:rPr>
          <w:rFonts w:ascii="Times New Roman" w:hAnsi="Times New Roman" w:eastAsia="Times New Roman"/>
          <w:sz w:val="24"/>
        </w:rPr>
        <w:t>(5) Odluka o prigovoru mora biti obrazložena i dostavlja se podnositelju putem EOJN RH odnosno drugim dokazivim putem.</w:t>
      </w:r>
    </w:p>
    <w:p>
      <w:pPr>
        <w:spacing w:before="240" w:after="160"/>
        <w:jc w:val="center"/>
      </w:pPr>
      <w:r>
        <w:rPr>
          <w:rFonts w:ascii="Times New Roman" w:hAnsi="Times New Roman" w:eastAsia="Times New Roman"/>
          <w:b/>
          <w:sz w:val="24"/>
        </w:rPr>
        <w:t>X. SUKOB INTERESA</w:t>
      </w:r>
    </w:p>
    <w:p>
      <w:pPr>
        <w:spacing w:before="160" w:after="80"/>
        <w:jc w:val="center"/>
      </w:pPr>
      <w:r>
        <w:rPr>
          <w:rFonts w:ascii="Times New Roman" w:hAnsi="Times New Roman" w:eastAsia="Times New Roman"/>
          <w:b/>
          <w:sz w:val="24"/>
        </w:rPr>
        <w:t>Članak 15.</w:t>
      </w:r>
    </w:p>
    <w:p>
      <w:pPr>
        <w:spacing w:after="60" w:line="252" w:lineRule="auto"/>
        <w:ind w:left="369" w:hanging="369"/>
        <w:jc w:val="both"/>
      </w:pPr>
      <w:r>
        <w:rPr>
          <w:rFonts w:ascii="Times New Roman" w:hAnsi="Times New Roman" w:eastAsia="Times New Roman"/>
          <w:sz w:val="24"/>
        </w:rPr>
        <w:t>(1) Društvo je obvezno poduzimati odgovarajuće mjere radi sprječavanja, prepoznavanja i uklanjanja sukoba interesa u postupcima jednostavne nabave.</w:t>
      </w:r>
    </w:p>
    <w:p>
      <w:pPr>
        <w:spacing w:after="60" w:line="252" w:lineRule="auto"/>
        <w:ind w:left="369" w:hanging="369"/>
        <w:jc w:val="both"/>
      </w:pPr>
      <w:r>
        <w:rPr>
          <w:rFonts w:ascii="Times New Roman" w:hAnsi="Times New Roman" w:eastAsia="Times New Roman"/>
          <w:sz w:val="24"/>
        </w:rPr>
        <w:t>(2) Na sukob interesa odgovarajuće se primjenjuju članci 75. do 83. ZJN-a.</w:t>
      </w:r>
    </w:p>
    <w:p>
      <w:pPr>
        <w:spacing w:after="60" w:line="252" w:lineRule="auto"/>
        <w:ind w:left="369" w:hanging="369"/>
        <w:jc w:val="both"/>
      </w:pPr>
      <w:r>
        <w:rPr>
          <w:rFonts w:ascii="Times New Roman" w:hAnsi="Times New Roman" w:eastAsia="Times New Roman"/>
          <w:sz w:val="24"/>
        </w:rPr>
        <w:t>(3) Osoba koja sudjeluje u pripremi ili provedbi nabave obvezna je bez odgađanja obavijestiti direktora o postojanju ili mogućem postojanju sukoba interesa te se, kada je potrebno, izuzeti iz postupka.</w:t>
      </w:r>
    </w:p>
    <w:p>
      <w:pPr>
        <w:spacing w:before="240" w:after="160"/>
        <w:jc w:val="center"/>
      </w:pPr>
      <w:r>
        <w:rPr>
          <w:rFonts w:ascii="Times New Roman" w:hAnsi="Times New Roman" w:eastAsia="Times New Roman"/>
          <w:b/>
          <w:sz w:val="24"/>
        </w:rPr>
        <w:t>XI. SKLAPANJE I IZVRŠENJE UGOVORA</w:t>
      </w:r>
    </w:p>
    <w:p>
      <w:pPr>
        <w:spacing w:before="160" w:after="80"/>
        <w:jc w:val="center"/>
      </w:pPr>
      <w:r>
        <w:rPr>
          <w:rFonts w:ascii="Times New Roman" w:hAnsi="Times New Roman" w:eastAsia="Times New Roman"/>
          <w:b/>
          <w:sz w:val="24"/>
        </w:rPr>
        <w:t>Članak 16.</w:t>
      </w:r>
    </w:p>
    <w:p>
      <w:pPr>
        <w:spacing w:after="60" w:line="252" w:lineRule="auto"/>
        <w:ind w:left="369" w:hanging="369"/>
        <w:jc w:val="both"/>
      </w:pPr>
      <w:r>
        <w:rPr>
          <w:rFonts w:ascii="Times New Roman" w:hAnsi="Times New Roman" w:eastAsia="Times New Roman"/>
          <w:sz w:val="24"/>
        </w:rPr>
        <w:t>(1) Nakon provedenog postupka sklapa se ugovor, izdaje narudžbenica ili druga odgovarajuća isprava, ovisno o predmetu, vrijednosti i prirodi nabave.</w:t>
      </w:r>
    </w:p>
    <w:p>
      <w:pPr>
        <w:spacing w:after="60" w:line="252" w:lineRule="auto"/>
        <w:ind w:left="369" w:hanging="369"/>
        <w:jc w:val="both"/>
      </w:pPr>
      <w:r>
        <w:rPr>
          <w:rFonts w:ascii="Times New Roman" w:hAnsi="Times New Roman" w:eastAsia="Times New Roman"/>
          <w:sz w:val="24"/>
        </w:rPr>
        <w:t>(2) Ugovor, narudžbenica ili druga isprava mora biti u skladu s prihvaćenom odnosno odabranom ponudom.</w:t>
      </w:r>
    </w:p>
    <w:p>
      <w:pPr>
        <w:spacing w:after="60" w:line="252" w:lineRule="auto"/>
        <w:ind w:left="369" w:hanging="369"/>
        <w:jc w:val="both"/>
      </w:pPr>
      <w:r>
        <w:rPr>
          <w:rFonts w:ascii="Times New Roman" w:hAnsi="Times New Roman" w:eastAsia="Times New Roman"/>
          <w:sz w:val="24"/>
        </w:rPr>
        <w:t>(3) Društvo prati izvršenje ugovora odnosno narudžbenice, osobito rokove, količinu, cijenu, kvalitetu i druge ugovorene obveze.</w:t>
      </w:r>
    </w:p>
    <w:p>
      <w:pPr>
        <w:spacing w:after="60" w:line="252" w:lineRule="auto"/>
        <w:ind w:left="369" w:hanging="369"/>
        <w:jc w:val="both"/>
      </w:pPr>
      <w:r>
        <w:rPr>
          <w:rFonts w:ascii="Times New Roman" w:hAnsi="Times New Roman" w:eastAsia="Times New Roman"/>
          <w:sz w:val="24"/>
        </w:rPr>
        <w:t>(4) Izmjene ugovora odnosno narudžbenice moraju biti opravdane i dokumentirane te se njima ne smije izbjegavati primjena ZJN-a ili strožeg postupka iz ovog Pravilnika.</w:t>
      </w:r>
    </w:p>
    <w:p>
      <w:pPr>
        <w:spacing w:after="60" w:line="252" w:lineRule="auto"/>
        <w:ind w:left="369" w:hanging="369"/>
        <w:jc w:val="both"/>
      </w:pPr>
      <w:r>
        <w:rPr>
          <w:rFonts w:ascii="Times New Roman" w:hAnsi="Times New Roman" w:eastAsia="Times New Roman"/>
          <w:sz w:val="24"/>
        </w:rPr>
        <w:t>(5) Društvo može, kada to opravdavaju predmet i rizici nabave, zahtijevati jamstvo za ozbiljnost ponude, uredno izvršenje, otklanjanje nedostataka ili drugo odgovarajuće sredstvo osiguranja.</w:t>
      </w:r>
    </w:p>
    <w:p>
      <w:pPr>
        <w:spacing w:before="240" w:after="160"/>
        <w:jc w:val="center"/>
      </w:pPr>
      <w:r>
        <w:rPr>
          <w:rFonts w:ascii="Times New Roman" w:hAnsi="Times New Roman" w:eastAsia="Times New Roman"/>
          <w:b/>
          <w:sz w:val="24"/>
        </w:rPr>
        <w:t>XII. DOKUMENTACIJA I OBJAVE</w:t>
      </w:r>
    </w:p>
    <w:p>
      <w:pPr>
        <w:spacing w:before="160" w:after="80"/>
        <w:jc w:val="center"/>
      </w:pPr>
      <w:r>
        <w:rPr>
          <w:rFonts w:ascii="Times New Roman" w:hAnsi="Times New Roman" w:eastAsia="Times New Roman"/>
          <w:b/>
          <w:sz w:val="24"/>
        </w:rPr>
        <w:t>Članak 17.</w:t>
      </w:r>
    </w:p>
    <w:p>
      <w:pPr>
        <w:spacing w:after="60" w:line="252" w:lineRule="auto"/>
        <w:ind w:left="369" w:hanging="369"/>
        <w:jc w:val="both"/>
      </w:pPr>
      <w:r>
        <w:rPr>
          <w:rFonts w:ascii="Times New Roman" w:hAnsi="Times New Roman" w:eastAsia="Times New Roman"/>
          <w:sz w:val="24"/>
        </w:rPr>
        <w:t>(1) Dokumentacija o postupcima jednostavne nabave čuva se u skladu s propisima o javnoj nabavi, računovodstvenim, poreznim i arhivskim propisima te internim pravilima Društva.</w:t>
      </w:r>
    </w:p>
    <w:p>
      <w:pPr>
        <w:spacing w:after="60" w:line="252" w:lineRule="auto"/>
        <w:ind w:left="369" w:hanging="369"/>
        <w:jc w:val="both"/>
      </w:pPr>
      <w:r>
        <w:rPr>
          <w:rFonts w:ascii="Times New Roman" w:hAnsi="Times New Roman" w:eastAsia="Times New Roman"/>
          <w:sz w:val="24"/>
        </w:rPr>
        <w:t>(2) Ovaj Pravilnik, kao i njegove izmjene i dopune, objavljuje se na internetskim stranicama Društva i čini dostupnim u EOJN RH.</w:t>
      </w:r>
    </w:p>
    <w:p>
      <w:pPr>
        <w:spacing w:after="60" w:line="252" w:lineRule="auto"/>
        <w:ind w:left="369" w:hanging="369"/>
        <w:jc w:val="both"/>
      </w:pPr>
      <w:r>
        <w:rPr>
          <w:rFonts w:ascii="Times New Roman" w:hAnsi="Times New Roman" w:eastAsia="Times New Roman"/>
          <w:sz w:val="24"/>
        </w:rPr>
        <w:t>(3) U slučaju izmjene zakonskih pragova ili drugih obveznih pravila jednostavne nabave, do usklađivanja ovog Pravilnika neposredno se primjenjuju važeće odredbe ZJN-a.</w:t>
      </w:r>
    </w:p>
    <w:p>
      <w:pPr>
        <w:spacing w:before="240" w:after="160"/>
        <w:jc w:val="center"/>
      </w:pPr>
      <w:r>
        <w:rPr>
          <w:rFonts w:ascii="Times New Roman" w:hAnsi="Times New Roman" w:eastAsia="Times New Roman"/>
          <w:b/>
          <w:sz w:val="24"/>
        </w:rPr>
        <w:t>XIII. ZAVRŠNE I PRIJELAZNE ODREDBE</w:t>
      </w:r>
    </w:p>
    <w:p>
      <w:pPr>
        <w:spacing w:before="160" w:after="80"/>
        <w:jc w:val="center"/>
      </w:pPr>
      <w:r>
        <w:rPr>
          <w:rFonts w:ascii="Times New Roman" w:hAnsi="Times New Roman" w:eastAsia="Times New Roman"/>
          <w:b/>
          <w:sz w:val="24"/>
        </w:rPr>
        <w:t>Članak 18.</w:t>
      </w:r>
    </w:p>
    <w:p>
      <w:pPr>
        <w:spacing w:after="60" w:line="252" w:lineRule="auto"/>
        <w:ind w:left="369" w:hanging="369"/>
        <w:jc w:val="both"/>
      </w:pPr>
      <w:r>
        <w:rPr>
          <w:rFonts w:ascii="Times New Roman" w:hAnsi="Times New Roman" w:eastAsia="Times New Roman"/>
          <w:sz w:val="24"/>
        </w:rPr>
        <w:t>(1) Postupci jednostavne nabave pokrenuti prije početka primjene ovog Pravilnika dovršit će se prema pravilima koja su vrijedila u trenutku njihova pokretanja.</w:t>
      </w:r>
    </w:p>
    <w:p>
      <w:pPr>
        <w:spacing w:after="60" w:line="252" w:lineRule="auto"/>
        <w:ind w:left="369" w:hanging="369"/>
        <w:jc w:val="both"/>
      </w:pPr>
      <w:r>
        <w:rPr>
          <w:rFonts w:ascii="Times New Roman" w:hAnsi="Times New Roman" w:eastAsia="Times New Roman"/>
          <w:sz w:val="24"/>
        </w:rPr>
        <w:t>(2) Danom početka primjene ovog Pravilnika prestaje važiti Pravilnik o jednostavnoj nabavi robe, radova i/ili usluga od 1. siječnja 2023. godine.</w:t>
      </w:r>
    </w:p>
    <w:p>
      <w:pPr>
        <w:spacing w:after="60" w:line="252" w:lineRule="auto"/>
        <w:ind w:left="369" w:hanging="369"/>
        <w:jc w:val="both"/>
      </w:pPr>
      <w:r>
        <w:rPr>
          <w:rFonts w:ascii="Times New Roman" w:hAnsi="Times New Roman" w:eastAsia="Times New Roman"/>
          <w:sz w:val="24"/>
        </w:rPr>
        <w:t>(3) Ovaj Pravilnik stupa na snagu danom donošenja i primjenjuje se na postupke jednostavne nabave pokrenute od dana njegova stupanja na snagu.</w:t>
      </w:r>
    </w:p>
    <w:p>
      <w:pPr>
        <w:spacing w:before="360" w:after="200"/>
      </w:pPr>
      <w:r>
        <w:rPr>
          <w:rFonts w:ascii="Times New Roman" w:hAnsi="Times New Roman"/>
          <w:sz w:val="24"/>
        </w:rPr>
        <w:t>U Pirovcu, __________ 2026. godine</w:t>
      </w:r>
    </w:p>
    <w:p>
      <w:pPr>
        <w:spacing w:before="280"/>
        <w:jc w:val="right"/>
      </w:pPr>
      <w:r>
        <w:rPr>
          <w:rFonts w:ascii="Times New Roman" w:hAnsi="Times New Roman"/>
          <w:b/>
          <w:sz w:val="24"/>
        </w:rPr>
        <w:t>UPRAVA TRGOVAČKOG DRUŠTVA</w:t>
        <w:br/>
        <w:t>VRILO d.o.o.</w:t>
        <w:br/>
        <w:br/>
        <w:br/>
        <w:t>_______________________</w:t>
        <w:br/>
        <w:t>Ante Čubrić, mag. oec.</w:t>
      </w:r>
    </w:p>
    <w:sectPr w:rsidR="00FC693F" w:rsidRPr="0006063C" w:rsidSect="00034616">
      <w:footerReference w:type="default" r:id="rId9"/>
      <w:pgSz w:w="11906" w:h="16838"/>
      <w:pgMar w:top="1417" w:right="1417" w:bottom="1417" w:left="1417"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